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00AE8EC1">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00AE8EC1">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76EAEE1E" w:rsidR="00F445B1" w:rsidRPr="00C55247" w:rsidRDefault="00163DE2" w:rsidP="0202287E">
            <w:pPr>
              <w:rPr>
                <w:rStyle w:val="Firstpagetablebold"/>
                <w:b w:val="0"/>
              </w:rPr>
            </w:pPr>
            <w:r>
              <w:rPr>
                <w:rStyle w:val="Firstpagetablebold"/>
                <w:b w:val="0"/>
              </w:rPr>
              <w:t>30</w:t>
            </w:r>
            <w:r w:rsidR="332755AF" w:rsidRPr="00AE8EC1">
              <w:rPr>
                <w:rStyle w:val="Firstpagetablebold"/>
                <w:b w:val="0"/>
              </w:rPr>
              <w:t>/</w:t>
            </w:r>
            <w:r w:rsidR="00B760AB">
              <w:rPr>
                <w:rStyle w:val="Firstpagetablebold"/>
                <w:b w:val="0"/>
              </w:rPr>
              <w:t>10</w:t>
            </w:r>
            <w:r w:rsidR="332755AF" w:rsidRPr="00AE8EC1">
              <w:rPr>
                <w:rStyle w:val="Firstpagetablebold"/>
                <w:b w:val="0"/>
              </w:rPr>
              <w:t>/</w:t>
            </w:r>
            <w:r w:rsidR="2952A2B7" w:rsidRPr="00AE8EC1">
              <w:rPr>
                <w:rStyle w:val="Firstpagetablebold"/>
                <w:b w:val="0"/>
              </w:rPr>
              <w:t>2025</w:t>
            </w:r>
          </w:p>
        </w:tc>
      </w:tr>
      <w:tr w:rsidR="00CE544A" w:rsidRPr="003E4C33" w14:paraId="4976D647" w14:textId="77777777" w:rsidTr="00AE8EC1">
        <w:trPr>
          <w:trHeight w:val="450"/>
        </w:trPr>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33356CB8" w:rsidR="00F445B1" w:rsidRPr="00281F1F" w:rsidRDefault="00F37B81" w:rsidP="2BB29E7E">
            <w:r w:rsidRPr="00281F1F">
              <w:t xml:space="preserve">Tom Hook, </w:t>
            </w:r>
            <w:r w:rsidR="009D3D0B" w:rsidRPr="00281F1F">
              <w:t>Deputy Chief Executive</w:t>
            </w:r>
          </w:p>
        </w:tc>
      </w:tr>
      <w:tr w:rsidR="00CE544A" w:rsidRPr="003E4C33" w14:paraId="1CE13DCA" w14:textId="77777777" w:rsidTr="00AE8EC1">
        <w:trPr>
          <w:trHeight w:val="375"/>
        </w:trPr>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23FDB4BC" w:rsidR="00F445B1" w:rsidRPr="00281F1F" w:rsidRDefault="007C6E8A" w:rsidP="0202287E">
            <w:pPr>
              <w:pStyle w:val="Heading2"/>
              <w:shd w:val="clear" w:color="auto" w:fill="FFFFFF" w:themeFill="background1"/>
              <w:spacing w:before="0" w:after="360"/>
              <w:rPr>
                <w:u w:val="none"/>
              </w:rPr>
            </w:pPr>
            <w:r w:rsidRPr="007C6E8A">
              <w:rPr>
                <w:color w:val="000000" w:themeColor="text1"/>
                <w:u w:val="none"/>
              </w:rPr>
              <w:t xml:space="preserve">Programme Delivery Transfer </w:t>
            </w:r>
            <w:r w:rsidR="00FE565B">
              <w:rPr>
                <w:color w:val="000000" w:themeColor="text1"/>
                <w:u w:val="none"/>
              </w:rPr>
              <w:t>–</w:t>
            </w:r>
            <w:r>
              <w:rPr>
                <w:color w:val="000000" w:themeColor="text1"/>
                <w:u w:val="none"/>
              </w:rPr>
              <w:t xml:space="preserve"> </w:t>
            </w:r>
            <w:r w:rsidR="006469E9">
              <w:rPr>
                <w:color w:val="000000" w:themeColor="text1"/>
                <w:u w:val="none"/>
              </w:rPr>
              <w:t>P</w:t>
            </w:r>
            <w:r>
              <w:rPr>
                <w:color w:val="000000" w:themeColor="text1"/>
                <w:u w:val="none"/>
              </w:rPr>
              <w:t>urchase</w:t>
            </w:r>
            <w:r w:rsidR="00FE565B">
              <w:rPr>
                <w:color w:val="000000" w:themeColor="text1"/>
                <w:u w:val="none"/>
              </w:rPr>
              <w:t xml:space="preserve"> </w:t>
            </w:r>
            <w:r w:rsidRPr="0202287E">
              <w:rPr>
                <w:color w:val="000000" w:themeColor="text1"/>
                <w:u w:val="none"/>
              </w:rPr>
              <w:t>flat</w:t>
            </w:r>
            <w:r>
              <w:rPr>
                <w:color w:val="000000" w:themeColor="text1"/>
                <w:u w:val="none"/>
              </w:rPr>
              <w:t xml:space="preserve"> 1</w:t>
            </w:r>
            <w:r w:rsidRPr="0202287E">
              <w:rPr>
                <w:color w:val="000000" w:themeColor="text1"/>
                <w:u w:val="none"/>
              </w:rPr>
              <w:t>, 45 Wytham Street, Oxford, OX1 4TR</w:t>
            </w:r>
            <w:r w:rsidRPr="0202287E">
              <w:rPr>
                <w:rFonts w:cs="Arial"/>
                <w:color w:val="auto"/>
                <w:u w:val="none"/>
              </w:rPr>
              <w:t xml:space="preserve"> for a total purchase price of £</w:t>
            </w:r>
            <w:r>
              <w:rPr>
                <w:rFonts w:cs="Arial"/>
                <w:color w:val="auto"/>
                <w:u w:val="none"/>
              </w:rPr>
              <w:t>195</w:t>
            </w:r>
            <w:r w:rsidRPr="0202287E">
              <w:rPr>
                <w:rFonts w:cs="Arial"/>
                <w:color w:val="auto"/>
                <w:u w:val="none"/>
              </w:rPr>
              <w:t xml:space="preserve">,000 </w:t>
            </w:r>
            <w:r>
              <w:rPr>
                <w:u w:val="none"/>
              </w:rPr>
              <w:t>to the LAHF 3 programme</w:t>
            </w:r>
            <w:r w:rsidR="006469E9">
              <w:rPr>
                <w:u w:val="none"/>
              </w:rPr>
              <w:t xml:space="preserve"> instead of the </w:t>
            </w:r>
            <w:r w:rsidR="006469E9" w:rsidRPr="006469E9">
              <w:rPr>
                <w:u w:val="none"/>
              </w:rPr>
              <w:t>RRTBR 25/26 programme</w:t>
            </w:r>
            <w:r>
              <w:rPr>
                <w:u w:val="none"/>
              </w:rPr>
              <w:t>.</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0202287E">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0202287E">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14367311" w:rsidP="00523261">
            <w:pPr>
              <w:rPr>
                <w:rStyle w:val="Firstpagetablebold"/>
                <w:rFonts w:cs="Arial"/>
              </w:rPr>
            </w:pPr>
            <w:r w:rsidRPr="0202287E">
              <w:rPr>
                <w:rStyle w:val="Firstpagetablebold"/>
                <w:rFonts w:cs="Arial"/>
              </w:rPr>
              <w:t>Decision being taken</w:t>
            </w:r>
            <w:r w:rsidR="11EEC5C2" w:rsidRPr="0202287E">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7E12FF50" w:rsidR="00D5547E" w:rsidRPr="00C55247" w:rsidRDefault="006469E9" w:rsidP="0202287E">
            <w:pPr>
              <w:pStyle w:val="Heading2"/>
              <w:rPr>
                <w:rFonts w:cs="Arial"/>
                <w:color w:val="auto"/>
                <w:u w:val="none"/>
              </w:rPr>
            </w:pPr>
            <w:r>
              <w:rPr>
                <w:color w:val="000000" w:themeColor="text1"/>
                <w:u w:val="none"/>
              </w:rPr>
              <w:t>T</w:t>
            </w:r>
            <w:r w:rsidR="009622B9">
              <w:rPr>
                <w:color w:val="000000" w:themeColor="text1"/>
                <w:u w:val="none"/>
              </w:rPr>
              <w:t>o</w:t>
            </w:r>
            <w:r w:rsidR="007C6E8A">
              <w:rPr>
                <w:color w:val="000000" w:themeColor="text1"/>
                <w:u w:val="none"/>
              </w:rPr>
              <w:t xml:space="preserve"> purchase </w:t>
            </w:r>
            <w:r w:rsidR="4A57A6F4" w:rsidRPr="0202287E">
              <w:rPr>
                <w:color w:val="000000" w:themeColor="text1"/>
                <w:u w:val="none"/>
              </w:rPr>
              <w:t>flat</w:t>
            </w:r>
            <w:r w:rsidR="007C6E8A">
              <w:rPr>
                <w:color w:val="000000" w:themeColor="text1"/>
                <w:u w:val="none"/>
              </w:rPr>
              <w:t xml:space="preserve"> 1</w:t>
            </w:r>
            <w:r w:rsidR="4A57A6F4" w:rsidRPr="0202287E">
              <w:rPr>
                <w:color w:val="000000" w:themeColor="text1"/>
                <w:u w:val="none"/>
              </w:rPr>
              <w:t>, 45 Wytham Street, Oxford, OX1 4TR</w:t>
            </w:r>
            <w:r w:rsidR="00281F1F" w:rsidRPr="0202287E">
              <w:rPr>
                <w:rFonts w:cs="Arial"/>
                <w:color w:val="auto"/>
                <w:u w:val="none"/>
              </w:rPr>
              <w:t xml:space="preserve"> </w:t>
            </w:r>
            <w:r w:rsidR="003D7A19" w:rsidRPr="0202287E">
              <w:rPr>
                <w:rFonts w:cs="Arial"/>
                <w:color w:val="auto"/>
                <w:u w:val="none"/>
              </w:rPr>
              <w:t xml:space="preserve">for a </w:t>
            </w:r>
            <w:r w:rsidR="0FFB0BC3" w:rsidRPr="0202287E">
              <w:rPr>
                <w:rFonts w:cs="Arial"/>
                <w:color w:val="auto"/>
                <w:u w:val="none"/>
              </w:rPr>
              <w:t xml:space="preserve">total </w:t>
            </w:r>
            <w:r w:rsidR="003D7A19" w:rsidRPr="0202287E">
              <w:rPr>
                <w:rFonts w:cs="Arial"/>
                <w:color w:val="auto"/>
                <w:u w:val="none"/>
              </w:rPr>
              <w:t>purchase price of £</w:t>
            </w:r>
            <w:r w:rsidR="007C6E8A">
              <w:rPr>
                <w:rFonts w:cs="Arial"/>
                <w:color w:val="auto"/>
                <w:u w:val="none"/>
              </w:rPr>
              <w:t>195</w:t>
            </w:r>
            <w:r w:rsidR="00281F1F" w:rsidRPr="0202287E">
              <w:rPr>
                <w:rFonts w:cs="Arial"/>
                <w:color w:val="auto"/>
                <w:u w:val="none"/>
              </w:rPr>
              <w:t>,000</w:t>
            </w:r>
            <w:r w:rsidR="003D7A19" w:rsidRPr="0202287E">
              <w:rPr>
                <w:rFonts w:cs="Arial"/>
                <w:color w:val="auto"/>
                <w:u w:val="none"/>
              </w:rPr>
              <w:t xml:space="preserve"> </w:t>
            </w:r>
            <w:r w:rsidR="007C6E8A">
              <w:rPr>
                <w:u w:val="none"/>
              </w:rPr>
              <w:t>to the LAHF 3 programme</w:t>
            </w:r>
            <w:r w:rsidR="009622B9">
              <w:rPr>
                <w:u w:val="none"/>
              </w:rPr>
              <w:t xml:space="preserve">. It was envisaged that the property would be funded under the RRTBR 25/26 programme however due to </w:t>
            </w:r>
            <w:r w:rsidR="000D0916">
              <w:rPr>
                <w:u w:val="none"/>
              </w:rPr>
              <w:t xml:space="preserve">the </w:t>
            </w:r>
            <w:r w:rsidR="009622B9">
              <w:rPr>
                <w:u w:val="none"/>
              </w:rPr>
              <w:t xml:space="preserve">requirement to </w:t>
            </w:r>
            <w:r w:rsidR="000D0916">
              <w:rPr>
                <w:u w:val="none"/>
              </w:rPr>
              <w:t xml:space="preserve">acquire </w:t>
            </w:r>
            <w:r w:rsidR="009622B9">
              <w:rPr>
                <w:u w:val="none"/>
              </w:rPr>
              <w:t xml:space="preserve">a minimum of 5 units for the LAHF 3 programme it is necessary to </w:t>
            </w:r>
            <w:r>
              <w:rPr>
                <w:u w:val="none"/>
              </w:rPr>
              <w:t>change the programme through which this</w:t>
            </w:r>
            <w:r w:rsidR="009622B9">
              <w:rPr>
                <w:u w:val="none"/>
              </w:rPr>
              <w:t xml:space="preserve"> property</w:t>
            </w:r>
            <w:r>
              <w:rPr>
                <w:u w:val="none"/>
              </w:rPr>
              <w:t xml:space="preserve"> will be acquired</w:t>
            </w:r>
            <w:r w:rsidR="000D0916">
              <w:rPr>
                <w:u w:val="none"/>
              </w:rPr>
              <w:t xml:space="preserve">. </w:t>
            </w:r>
          </w:p>
        </w:tc>
      </w:tr>
      <w:tr w:rsidR="00D5547E" w:rsidRPr="003E4C33" w14:paraId="14C2CC29" w14:textId="77777777" w:rsidTr="0202287E">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71E148B4" w:rsidR="00D5547E" w:rsidRPr="00C55247" w:rsidRDefault="007C6E8A" w:rsidP="0202287E">
            <w:pPr>
              <w:rPr>
                <w:rFonts w:eastAsia="Arial" w:cs="Arial"/>
              </w:rPr>
            </w:pPr>
            <w:r>
              <w:rPr>
                <w:rFonts w:eastAsia="Arial" w:cs="Arial"/>
              </w:rPr>
              <w:t>No</w:t>
            </w:r>
            <w:r w:rsidRPr="00C55247">
              <w:rPr>
                <w:rFonts w:eastAsia="Arial" w:cs="Arial"/>
              </w:rPr>
              <w:t xml:space="preserve"> </w:t>
            </w:r>
          </w:p>
        </w:tc>
      </w:tr>
      <w:tr w:rsidR="006B2DE1" w:rsidRPr="003E4C33" w14:paraId="631D49A6" w14:textId="77777777" w:rsidTr="0202287E">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433FDE66" w14:textId="77777777" w:rsidR="007C6E8A" w:rsidRPr="007C6E8A" w:rsidRDefault="007C6E8A" w:rsidP="007C6E8A">
            <w:pPr>
              <w:rPr>
                <w:rFonts w:cs="Arial"/>
              </w:rPr>
            </w:pPr>
            <w:r w:rsidRPr="007C6E8A">
              <w:rPr>
                <w:rFonts w:cs="Arial"/>
              </w:rPr>
              <w:t>Cabinet – 13th November 2024 </w:t>
            </w:r>
          </w:p>
          <w:p w14:paraId="3398B9B4" w14:textId="5C418D4F" w:rsidR="007C6E8A" w:rsidRPr="007C6E8A" w:rsidRDefault="00716183" w:rsidP="00716183">
            <w:pPr>
              <w:rPr>
                <w:rFonts w:cs="Arial"/>
              </w:rPr>
            </w:pPr>
            <w:r>
              <w:rPr>
                <w:rFonts w:cs="Arial"/>
              </w:rPr>
              <w:t>The Cabinet</w:t>
            </w:r>
            <w:r w:rsidRPr="007C6E8A">
              <w:rPr>
                <w:rFonts w:cs="Arial"/>
              </w:rPr>
              <w:t xml:space="preserve"> </w:t>
            </w:r>
            <w:r w:rsidR="007C6E8A" w:rsidRPr="007C6E8A">
              <w:rPr>
                <w:rFonts w:cs="Arial"/>
              </w:rPr>
              <w:t>resolved to: </w:t>
            </w:r>
          </w:p>
          <w:p w14:paraId="24C2E022" w14:textId="3C40CC32" w:rsidR="0035045B" w:rsidRPr="0035045B" w:rsidRDefault="007C6E8A" w:rsidP="003D7A19">
            <w:pPr>
              <w:rPr>
                <w:rFonts w:cs="Arial"/>
              </w:rPr>
            </w:pPr>
            <w:r w:rsidRPr="007C6E8A">
              <w:rPr>
                <w:rFonts w:cs="Arial"/>
              </w:rPr>
              <w:t xml:space="preserve">3. </w:t>
            </w:r>
            <w:r w:rsidR="00716183" w:rsidRPr="00716183">
              <w:rPr>
                <w:rFonts w:cs="Arial"/>
              </w:rPr>
              <w:t>Delegate authority to the Interim Executive Director (Communities and People) in consultation with; the Cabinet Member for Housing; the Head of Financial Services/Section 151 Officer; and the Head of Law and Governance/Monitoring Officer, to enter into agreements and contracts to facilitate the purchase by the Council of housing (to be held in the HRA) within the identified budget and within the project approval.</w:t>
            </w:r>
          </w:p>
        </w:tc>
      </w:tr>
      <w:tr w:rsidR="00E508A1" w:rsidRPr="003E4C33" w14:paraId="271E719F" w14:textId="77777777" w:rsidTr="0202287E">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0202287E">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0202287E">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0202287E">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7C6E8A" w:rsidRPr="00975B07" w14:paraId="1817F3CE" w14:textId="77777777" w:rsidTr="0202287E">
        <w:trPr>
          <w:trHeight w:val="283"/>
        </w:trPr>
        <w:tc>
          <w:tcPr>
            <w:tcW w:w="426" w:type="dxa"/>
          </w:tcPr>
          <w:p w14:paraId="7809A8B3" w14:textId="77777777" w:rsidR="007C6E8A" w:rsidRPr="00975B07" w:rsidRDefault="007C6E8A" w:rsidP="007C6E8A">
            <w:r w:rsidRPr="00975B07">
              <w:t>1.</w:t>
            </w:r>
          </w:p>
        </w:tc>
        <w:tc>
          <w:tcPr>
            <w:tcW w:w="8419" w:type="dxa"/>
          </w:tcPr>
          <w:p w14:paraId="2599CB46" w14:textId="79F5D18C" w:rsidR="007C6E8A" w:rsidRPr="001356F1" w:rsidRDefault="007C6E8A" w:rsidP="007C6E8A">
            <w:pPr>
              <w:rPr>
                <w:rFonts w:cs="Arial"/>
                <w:color w:val="auto"/>
              </w:rPr>
            </w:pPr>
            <w:r>
              <w:rPr>
                <w:color w:val="000000" w:themeColor="text1"/>
              </w:rPr>
              <w:t xml:space="preserve">To approve </w:t>
            </w:r>
            <w:r w:rsidR="00716183">
              <w:rPr>
                <w:color w:val="000000" w:themeColor="text1"/>
              </w:rPr>
              <w:t xml:space="preserve">the </w:t>
            </w:r>
            <w:r w:rsidR="00716183" w:rsidRPr="00716183">
              <w:rPr>
                <w:color w:val="000000" w:themeColor="text1"/>
              </w:rPr>
              <w:t xml:space="preserve">purchase of flat 1, 45 Wytham Street, Oxford, OX1 4TR for a total purchase price of £195,000 to the LAHF 3 programme to meet </w:t>
            </w:r>
            <w:r w:rsidR="000D0916">
              <w:rPr>
                <w:color w:val="000000" w:themeColor="text1"/>
              </w:rPr>
              <w:t xml:space="preserve">the </w:t>
            </w:r>
            <w:r w:rsidR="00B24872">
              <w:rPr>
                <w:color w:val="000000" w:themeColor="text1"/>
              </w:rPr>
              <w:lastRenderedPageBreak/>
              <w:t xml:space="preserve">Council’s </w:t>
            </w:r>
            <w:r w:rsidR="000D0916">
              <w:rPr>
                <w:color w:val="000000" w:themeColor="text1"/>
              </w:rPr>
              <w:t>requirement to acquire a</w:t>
            </w:r>
            <w:r w:rsidR="00716183" w:rsidRPr="00716183">
              <w:rPr>
                <w:color w:val="000000" w:themeColor="text1"/>
              </w:rPr>
              <w:t xml:space="preserve"> minimum of 5 units for the LAHF 3 programme</w:t>
            </w:r>
            <w:r w:rsidR="000D0916">
              <w:rPr>
                <w:color w:val="000000" w:themeColor="text1"/>
              </w:rPr>
              <w:t>.</w:t>
            </w:r>
            <w:r w:rsidR="00716183" w:rsidRPr="00716183">
              <w:rPr>
                <w:color w:val="000000" w:themeColor="text1"/>
              </w:rPr>
              <w:t xml:space="preserve"> </w:t>
            </w:r>
          </w:p>
        </w:tc>
      </w:tr>
    </w:tbl>
    <w:p w14:paraId="73806377" w14:textId="77777777" w:rsidR="00060953" w:rsidRPr="003E4C33" w:rsidRDefault="00060953"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5DCA0435" w14:textId="776CB0A1" w:rsidR="0035045B" w:rsidRDefault="00F66DCA" w:rsidP="003D7A19">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42D9D3C1" w14:textId="77777777" w:rsidR="007C6E8A" w:rsidRPr="007C6E8A" w:rsidRDefault="007C6E8A" w:rsidP="007C6E8A">
      <w:pPr>
        <w:rPr>
          <w:rFonts w:cs="Arial"/>
        </w:rPr>
      </w:pPr>
      <w:r w:rsidRPr="007C6E8A">
        <w:rPr>
          <w:rFonts w:cs="Arial"/>
        </w:rPr>
        <w:t>Cabinet – 13th November 2024 </w:t>
      </w:r>
    </w:p>
    <w:p w14:paraId="328ACD4C" w14:textId="77777777" w:rsidR="007C6E8A" w:rsidRDefault="007C6E8A" w:rsidP="007C6E8A">
      <w:pPr>
        <w:rPr>
          <w:rFonts w:cs="Arial"/>
        </w:rPr>
      </w:pPr>
      <w:r w:rsidRPr="007C6E8A">
        <w:rPr>
          <w:rFonts w:cs="Arial"/>
        </w:rPr>
        <w:t>Council – 25th  N</w:t>
      </w:r>
      <w:r>
        <w:rPr>
          <w:rFonts w:cs="Arial"/>
        </w:rPr>
        <w:t xml:space="preserve">ovember 2024 </w:t>
      </w:r>
    </w:p>
    <w:p w14:paraId="4043BB34" w14:textId="6674CEA9" w:rsidR="00060953" w:rsidRPr="007C6E8A" w:rsidRDefault="007C6E8A" w:rsidP="00AE8EC1">
      <w:pPr>
        <w:rPr>
          <w:rFonts w:cs="Arial"/>
        </w:rPr>
      </w:pPr>
      <w:r w:rsidRPr="007C6E8A">
        <w:rPr>
          <w:rFonts w:cs="Arial"/>
        </w:rPr>
        <w:t>Approv</w:t>
      </w:r>
      <w:r>
        <w:rPr>
          <w:rFonts w:cs="Arial"/>
        </w:rPr>
        <w:t xml:space="preserve">al </w:t>
      </w:r>
      <w:r w:rsidR="00B24872">
        <w:rPr>
          <w:rFonts w:cs="Arial"/>
        </w:rPr>
        <w:t>was given</w:t>
      </w:r>
      <w:r>
        <w:rPr>
          <w:rFonts w:cs="Arial"/>
        </w:rPr>
        <w:t xml:space="preserve"> for</w:t>
      </w:r>
      <w:r w:rsidRPr="007C6E8A">
        <w:rPr>
          <w:rFonts w:cs="Arial"/>
        </w:rPr>
        <w:t xml:space="preserve"> the Council</w:t>
      </w:r>
      <w:r>
        <w:rPr>
          <w:rFonts w:cs="Arial"/>
        </w:rPr>
        <w:t xml:space="preserve"> to</w:t>
      </w:r>
      <w:r w:rsidRPr="007C6E8A">
        <w:rPr>
          <w:rFonts w:cs="Arial"/>
        </w:rPr>
        <w:t xml:space="preserve"> becom</w:t>
      </w:r>
      <w:r>
        <w:rPr>
          <w:rFonts w:cs="Arial"/>
        </w:rPr>
        <w:t xml:space="preserve">e </w:t>
      </w:r>
      <w:r w:rsidRPr="007C6E8A">
        <w:rPr>
          <w:rFonts w:cs="Arial"/>
        </w:rPr>
        <w:t>part of the Local Authority Housing Fund Round 3 </w:t>
      </w:r>
      <w:r w:rsidR="00B24872">
        <w:rPr>
          <w:rFonts w:cs="Arial"/>
        </w:rPr>
        <w:t xml:space="preserve">programme </w:t>
      </w:r>
      <w:r w:rsidRPr="007C6E8A">
        <w:rPr>
          <w:rFonts w:cs="Arial"/>
        </w:rPr>
        <w:t>in order to deliver 5 new affordable homes. </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3A1AD846" w:rsidR="00A15F71" w:rsidRPr="00A15F71" w:rsidRDefault="00716183" w:rsidP="0202287E">
      <w:pPr>
        <w:rPr>
          <w:rFonts w:cs="Arial"/>
          <w:color w:val="auto"/>
        </w:rPr>
      </w:pPr>
      <w:r>
        <w:t xml:space="preserve">It is necessary </w:t>
      </w:r>
      <w:r w:rsidR="000D0916">
        <w:t xml:space="preserve">to acquire </w:t>
      </w:r>
      <w:r w:rsidR="007C6E8A" w:rsidRPr="0202287E">
        <w:rPr>
          <w:color w:val="000000" w:themeColor="text1"/>
        </w:rPr>
        <w:t>flat</w:t>
      </w:r>
      <w:r w:rsidR="007C6E8A">
        <w:rPr>
          <w:color w:val="000000" w:themeColor="text1"/>
        </w:rPr>
        <w:t xml:space="preserve"> 1</w:t>
      </w:r>
      <w:r w:rsidR="007C6E8A" w:rsidRPr="0202287E">
        <w:rPr>
          <w:color w:val="000000" w:themeColor="text1"/>
        </w:rPr>
        <w:t>, 45 Wytham Street, Oxford, OX1 4TR</w:t>
      </w:r>
      <w:r w:rsidR="007C6E8A" w:rsidRPr="0202287E">
        <w:rPr>
          <w:rFonts w:cs="Arial"/>
          <w:color w:val="auto"/>
        </w:rPr>
        <w:t xml:space="preserve"> for a total purchase price of £</w:t>
      </w:r>
      <w:r w:rsidR="007C6E8A">
        <w:rPr>
          <w:rFonts w:cs="Arial"/>
          <w:color w:val="auto"/>
        </w:rPr>
        <w:t>195</w:t>
      </w:r>
      <w:r w:rsidR="007C6E8A" w:rsidRPr="0202287E">
        <w:rPr>
          <w:rFonts w:cs="Arial"/>
          <w:color w:val="auto"/>
        </w:rPr>
        <w:t xml:space="preserve">,000 </w:t>
      </w:r>
      <w:r w:rsidR="007C6E8A">
        <w:t>to the LAHF 3 programme</w:t>
      </w:r>
      <w:r w:rsidR="000D0916">
        <w:t>, instead of the RRTBR programme</w:t>
      </w:r>
      <w:r w:rsidR="007C6E8A">
        <w:t xml:space="preserve"> to meet </w:t>
      </w:r>
      <w:r w:rsidR="000D0916">
        <w:t xml:space="preserve">the Council’s </w:t>
      </w:r>
      <w:r w:rsidR="007C6E8A">
        <w:t xml:space="preserve">requirement of 5 new homes as part of the LAHF </w:t>
      </w:r>
      <w:r w:rsidR="000D0916">
        <w:t xml:space="preserve">3 </w:t>
      </w:r>
      <w:r w:rsidR="007C6E8A">
        <w:t>programme</w:t>
      </w:r>
      <w:r w:rsidR="003C071E">
        <w:t xml:space="preserve">. Reference to the relevant cabinet </w:t>
      </w:r>
      <w:r w:rsidR="000D0916">
        <w:t xml:space="preserve">delegation </w:t>
      </w:r>
      <w:r w:rsidR="003C071E">
        <w:t xml:space="preserve">for this has been made </w:t>
      </w:r>
      <w:r w:rsidR="000D0916">
        <w:t xml:space="preserve">in </w:t>
      </w:r>
      <w:r w:rsidR="003C071E">
        <w:t xml:space="preserve">the source of delegation section of this </w:t>
      </w:r>
      <w:r w:rsidR="000D0916">
        <w:t>form.</w:t>
      </w:r>
      <w:r w:rsidR="00FE565B">
        <w:t xml:space="preserve"> </w:t>
      </w:r>
      <w:r w:rsidR="003C071E">
        <w:t xml:space="preserve">The original decision </w:t>
      </w:r>
      <w:r>
        <w:t xml:space="preserve">on 12 August 2025 to acquire the property </w:t>
      </w:r>
      <w:r w:rsidR="003C071E">
        <w:t xml:space="preserve">via RRTBR 25/26 has also been provided under background documents. </w:t>
      </w:r>
      <w:r w:rsidR="000D0916">
        <w:t>The delegation to acquire property under the RRTBR 25/26 programme has also been included for reference.</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6D6B466" w:rsidR="006C7D2E" w:rsidRPr="00C55247" w:rsidRDefault="00A15F71" w:rsidP="6705CB2F">
      <w:pPr>
        <w:pStyle w:val="bParagraphtext"/>
        <w:numPr>
          <w:ilvl w:val="0"/>
          <w:numId w:val="0"/>
        </w:numPr>
        <w:rPr>
          <w:rFonts w:cs="Arial"/>
          <w:color w:val="auto"/>
        </w:rPr>
      </w:pPr>
      <w:r>
        <w:rPr>
          <w:rFonts w:cs="Arial"/>
          <w:color w:val="auto"/>
        </w:rPr>
        <w:t>None.</w:t>
      </w:r>
      <w:r w:rsidR="00241830" w:rsidRPr="00C55247">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AE8EC1">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58E548B" w:rsidR="009D3D0B" w:rsidRPr="009D3D0B" w:rsidRDefault="003D7A19" w:rsidP="009D3D0B">
            <w:pPr>
              <w:rPr>
                <w:rStyle w:val="bParagraphtextChar"/>
                <w:rFonts w:cs="Arial"/>
                <w:color w:val="auto"/>
              </w:rPr>
            </w:pPr>
            <w:r>
              <w:rPr>
                <w:rStyle w:val="bParagraphtextChar"/>
                <w:rFonts w:cs="Arial"/>
                <w:color w:val="auto"/>
              </w:rPr>
              <w:t>None</w:t>
            </w:r>
            <w:r w:rsidR="003C071E">
              <w:rPr>
                <w:rStyle w:val="bParagraphtextChar"/>
                <w:rFonts w:cs="Arial"/>
                <w:color w:val="auto"/>
              </w:rPr>
              <w:t>.</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632BEE10" w:rsidR="001A1BA1" w:rsidRPr="009D3D0B" w:rsidRDefault="001A1BA1" w:rsidP="0202287E">
            <w:pPr>
              <w:pStyle w:val="Bulletpoints"/>
              <w:numPr>
                <w:ilvl w:val="0"/>
                <w:numId w:val="0"/>
              </w:numPr>
              <w:rPr>
                <w:rFonts w:cs="Arial"/>
                <w:b/>
                <w:bCs/>
                <w:color w:val="auto"/>
              </w:rPr>
            </w:pPr>
            <w:r w:rsidRPr="587857B2">
              <w:rPr>
                <w:rFonts w:cs="Arial"/>
                <w:b/>
                <w:bCs/>
                <w:color w:val="auto"/>
              </w:rPr>
              <w:t>Date:</w:t>
            </w:r>
            <w:r w:rsidR="003D7A19" w:rsidRPr="587857B2">
              <w:rPr>
                <w:rFonts w:cs="Arial"/>
                <w:b/>
                <w:bCs/>
                <w:color w:val="auto"/>
              </w:rPr>
              <w:t xml:space="preserve"> </w:t>
            </w:r>
            <w:r w:rsidR="00FE565B">
              <w:rPr>
                <w:rFonts w:cs="Arial"/>
                <w:b/>
                <w:bCs/>
                <w:color w:val="auto"/>
              </w:rPr>
              <w:t>21</w:t>
            </w:r>
            <w:r w:rsidR="48DE5700" w:rsidRPr="587857B2">
              <w:rPr>
                <w:rFonts w:cs="Arial"/>
                <w:b/>
                <w:bCs/>
                <w:color w:val="auto"/>
              </w:rPr>
              <w:t>/</w:t>
            </w:r>
            <w:r w:rsidR="00FE565B">
              <w:rPr>
                <w:rFonts w:cs="Arial"/>
                <w:b/>
                <w:bCs/>
                <w:color w:val="auto"/>
              </w:rPr>
              <w:t>10</w:t>
            </w:r>
            <w:r w:rsidR="48DE5700" w:rsidRPr="587857B2">
              <w:rPr>
                <w:rFonts w:cs="Arial"/>
                <w:b/>
                <w:bCs/>
                <w:color w:val="auto"/>
              </w:rPr>
              <w:t>/</w:t>
            </w:r>
            <w:r w:rsidR="53F029B3" w:rsidRPr="587857B2">
              <w:rPr>
                <w:rFonts w:cs="Arial"/>
                <w:b/>
                <w:bCs/>
                <w:color w:val="auto"/>
              </w:rPr>
              <w:t>2025</w:t>
            </w:r>
          </w:p>
        </w:tc>
      </w:tr>
      <w:tr w:rsidR="00372A82" w:rsidRPr="003E4C33" w14:paraId="7D8DECFB" w14:textId="77777777" w:rsidTr="00AE8EC1">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lastRenderedPageBreak/>
              <w:t xml:space="preserve">Legal </w:t>
            </w:r>
            <w:r w:rsidR="008A34D3" w:rsidRPr="009D3D0B">
              <w:rPr>
                <w:rFonts w:cs="Arial"/>
                <w:b/>
              </w:rPr>
              <w:t xml:space="preserve">implications </w:t>
            </w:r>
          </w:p>
        </w:tc>
        <w:tc>
          <w:tcPr>
            <w:tcW w:w="4379" w:type="dxa"/>
          </w:tcPr>
          <w:p w14:paraId="11BAD199" w14:textId="2FA1B1BC" w:rsidR="00372A82" w:rsidRPr="009D3D0B" w:rsidRDefault="000D0916" w:rsidP="00CB7A4F">
            <w:pPr>
              <w:rPr>
                <w:rFonts w:cs="Arial"/>
                <w:color w:val="auto"/>
              </w:rPr>
            </w:pPr>
            <w:r>
              <w:rPr>
                <w:rFonts w:cs="Arial"/>
                <w:color w:val="auto"/>
              </w:rPr>
              <w:t>The acquisition could be made using either of the delegated authorities quoted but the LAHF 3 programme is being used to ensure that the Council meets the requirement to acquire 5 units under that programme,</w:t>
            </w:r>
          </w:p>
        </w:tc>
        <w:tc>
          <w:tcPr>
            <w:tcW w:w="3026" w:type="dxa"/>
          </w:tcPr>
          <w:p w14:paraId="47079A0C" w14:textId="692C55AE"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Emma-</w:t>
            </w:r>
            <w:r w:rsidR="000D0916">
              <w:rPr>
                <w:rFonts w:cs="Arial"/>
                <w:b/>
                <w:color w:val="auto"/>
              </w:rPr>
              <w:t>Griffiths Legal Services Manager</w:t>
            </w:r>
          </w:p>
          <w:p w14:paraId="7A5DDA55" w14:textId="7233DDF7" w:rsidR="00372A82" w:rsidRPr="009D3D0B" w:rsidRDefault="001A1BA1" w:rsidP="0202287E">
            <w:pPr>
              <w:pStyle w:val="Bulletpoints"/>
              <w:numPr>
                <w:ilvl w:val="0"/>
                <w:numId w:val="0"/>
              </w:numPr>
              <w:rPr>
                <w:rFonts w:cs="Arial"/>
                <w:b/>
                <w:bCs/>
                <w:color w:val="auto"/>
              </w:rPr>
            </w:pPr>
            <w:r w:rsidRPr="00AE8EC1">
              <w:rPr>
                <w:rFonts w:cs="Arial"/>
                <w:b/>
                <w:bCs/>
                <w:color w:val="auto"/>
              </w:rPr>
              <w:t>Date:</w:t>
            </w:r>
            <w:r w:rsidR="2322182A" w:rsidRPr="00AE8EC1">
              <w:rPr>
                <w:rFonts w:cs="Arial"/>
                <w:b/>
                <w:bCs/>
                <w:color w:val="auto"/>
              </w:rPr>
              <w:t xml:space="preserve"> </w:t>
            </w:r>
            <w:r w:rsidR="000D0916">
              <w:rPr>
                <w:rFonts w:cs="Arial"/>
                <w:b/>
                <w:bCs/>
                <w:color w:val="auto"/>
              </w:rPr>
              <w:t xml:space="preserve">23 October </w:t>
            </w:r>
            <w:r w:rsidR="13C89BFA" w:rsidRPr="00AE8EC1">
              <w:rPr>
                <w:rFonts w:cs="Arial"/>
                <w:b/>
                <w:bCs/>
                <w:color w:val="auto"/>
              </w:rPr>
              <w:t>2025</w:t>
            </w:r>
          </w:p>
        </w:tc>
      </w:tr>
      <w:tr w:rsidR="001A1BA1" w:rsidRPr="003E4C33" w14:paraId="6F38FEBF" w14:textId="77777777" w:rsidTr="00AE8EC1">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5A074EBB" w:rsidR="001A1BA1" w:rsidRPr="009D3D0B" w:rsidRDefault="001A1BA1" w:rsidP="0202287E">
            <w:pPr>
              <w:pStyle w:val="Bulletpoints"/>
              <w:numPr>
                <w:ilvl w:val="0"/>
                <w:numId w:val="0"/>
              </w:numPr>
              <w:rPr>
                <w:rFonts w:cs="Arial"/>
                <w:b/>
                <w:bCs/>
                <w:color w:val="auto"/>
              </w:rPr>
            </w:pPr>
            <w:r w:rsidRPr="0202287E">
              <w:rPr>
                <w:rFonts w:cs="Arial"/>
                <w:b/>
                <w:bCs/>
                <w:color w:val="auto"/>
              </w:rPr>
              <w:t>Date:</w:t>
            </w:r>
            <w:r w:rsidR="003D7A19" w:rsidRPr="0202287E">
              <w:rPr>
                <w:rFonts w:cs="Arial"/>
                <w:b/>
                <w:bCs/>
                <w:color w:val="auto"/>
              </w:rPr>
              <w:t xml:space="preserve"> </w:t>
            </w:r>
            <w:r w:rsidR="008642A3">
              <w:rPr>
                <w:rFonts w:cs="Arial"/>
                <w:b/>
                <w:bCs/>
                <w:color w:val="auto"/>
              </w:rPr>
              <w:t>21</w:t>
            </w:r>
            <w:r w:rsidR="00CA5E87" w:rsidRPr="0202287E">
              <w:rPr>
                <w:rFonts w:cs="Arial"/>
                <w:b/>
                <w:bCs/>
              </w:rPr>
              <w:t>/</w:t>
            </w:r>
            <w:r w:rsidR="008642A3">
              <w:rPr>
                <w:rFonts w:cs="Arial"/>
                <w:b/>
                <w:bCs/>
              </w:rPr>
              <w:t>10</w:t>
            </w:r>
            <w:r w:rsidR="003D7A19" w:rsidRPr="0202287E">
              <w:rPr>
                <w:rFonts w:cs="Arial"/>
                <w:b/>
                <w:bCs/>
              </w:rPr>
              <w:t>/2025</w:t>
            </w:r>
          </w:p>
        </w:tc>
      </w:tr>
      <w:tr w:rsidR="007967CA" w:rsidRPr="003E4C33" w14:paraId="2C18B277" w14:textId="77777777" w:rsidTr="00AE8EC1">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2E742856" w:rsidR="007967CA" w:rsidRPr="009D3D0B" w:rsidRDefault="49F06E26" w:rsidP="587857B2">
            <w:pPr>
              <w:pStyle w:val="Bulletpoints"/>
              <w:numPr>
                <w:ilvl w:val="0"/>
                <w:numId w:val="0"/>
              </w:numPr>
              <w:rPr>
                <w:rFonts w:cs="Arial"/>
                <w:b/>
                <w:bCs/>
                <w:color w:val="auto"/>
              </w:rPr>
            </w:pPr>
            <w:r w:rsidRPr="587857B2">
              <w:rPr>
                <w:rFonts w:cs="Arial"/>
                <w:b/>
                <w:bCs/>
                <w:color w:val="auto"/>
              </w:rPr>
              <w:t>Date:</w:t>
            </w:r>
            <w:r w:rsidR="003D7A19" w:rsidRPr="587857B2">
              <w:rPr>
                <w:rFonts w:cs="Arial"/>
                <w:b/>
                <w:bCs/>
                <w:color w:val="auto"/>
              </w:rPr>
              <w:t xml:space="preserve"> </w:t>
            </w:r>
            <w:r w:rsidR="00FE565B">
              <w:rPr>
                <w:rFonts w:cs="Arial"/>
                <w:b/>
                <w:bCs/>
                <w:color w:val="auto"/>
              </w:rPr>
              <w:t>21</w:t>
            </w:r>
            <w:r w:rsidR="6DDB842C" w:rsidRPr="587857B2">
              <w:rPr>
                <w:rFonts w:cs="Arial"/>
                <w:b/>
                <w:bCs/>
                <w:color w:val="auto"/>
              </w:rPr>
              <w:t>/</w:t>
            </w:r>
            <w:r w:rsidR="00FE565B">
              <w:rPr>
                <w:rFonts w:cs="Arial"/>
                <w:b/>
                <w:bCs/>
                <w:color w:val="auto"/>
              </w:rPr>
              <w:t>10</w:t>
            </w:r>
            <w:r w:rsidR="6DDB842C" w:rsidRPr="587857B2">
              <w:rPr>
                <w:rFonts w:cs="Arial"/>
                <w:b/>
                <w:bCs/>
                <w:color w:val="auto"/>
              </w:rPr>
              <w:t>/2025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0202287E">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0202287E">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3CEBE" w14:textId="57A09B06" w:rsidR="001933FA" w:rsidRDefault="4B5D4C50" w:rsidP="12E744BB">
            <w:pPr>
              <w:rPr>
                <w:rFonts w:eastAsia="Arial" w:cs="Arial"/>
              </w:rPr>
            </w:pPr>
            <w:r w:rsidRPr="0202287E">
              <w:rPr>
                <w:rFonts w:eastAsia="Arial" w:cs="Arial"/>
              </w:rPr>
              <w:t>Cabinet Report</w:t>
            </w:r>
            <w:r w:rsidR="008642A3">
              <w:rPr>
                <w:rFonts w:eastAsia="Arial" w:cs="Arial"/>
              </w:rPr>
              <w:t xml:space="preserve"> </w:t>
            </w:r>
            <w:r w:rsidR="008642A3" w:rsidRPr="008642A3">
              <w:rPr>
                <w:rFonts w:eastAsia="Arial" w:cs="Arial"/>
              </w:rPr>
              <w:t>Local Authority Housing Fund Round 3</w:t>
            </w:r>
            <w:r w:rsidR="003D7A19" w:rsidRPr="0202287E">
              <w:rPr>
                <w:rFonts w:eastAsia="Arial" w:cs="Arial"/>
              </w:rPr>
              <w:t xml:space="preserve"> –</w:t>
            </w:r>
            <w:r w:rsidR="008642A3">
              <w:rPr>
                <w:rFonts w:eastAsia="Arial" w:cs="Arial"/>
              </w:rPr>
              <w:t xml:space="preserve"> November 13</w:t>
            </w:r>
            <w:r w:rsidR="008642A3" w:rsidRPr="008642A3">
              <w:rPr>
                <w:rFonts w:eastAsia="Arial" w:cs="Arial"/>
                <w:vertAlign w:val="superscript"/>
              </w:rPr>
              <w:t>th</w:t>
            </w:r>
            <w:r w:rsidR="008642A3">
              <w:rPr>
                <w:rFonts w:eastAsia="Arial" w:cs="Arial"/>
              </w:rPr>
              <w:t xml:space="preserve"> </w:t>
            </w:r>
            <w:r w:rsidRPr="0202287E">
              <w:rPr>
                <w:rFonts w:eastAsia="Arial" w:cs="Arial"/>
              </w:rPr>
              <w:t>2024.</w:t>
            </w:r>
          </w:p>
          <w:p w14:paraId="2D91A559" w14:textId="14D7AA7B" w:rsidR="003D7A19" w:rsidRDefault="008642A3" w:rsidP="0202287E">
            <w:pPr>
              <w:rPr>
                <w:color w:val="0000FF"/>
                <w:u w:val="single"/>
              </w:rPr>
            </w:pPr>
            <w:hyperlink r:id="rId11" w:history="1">
              <w:proofErr w:type="spellStart"/>
              <w:r w:rsidRPr="008642A3">
                <w:rPr>
                  <w:rStyle w:val="Hyperlink"/>
                </w:rPr>
                <w:t>OxCityCouncil</w:t>
              </w:r>
              <w:proofErr w:type="spellEnd"/>
              <w:r w:rsidRPr="008642A3">
                <w:rPr>
                  <w:rStyle w:val="Hyperlink"/>
                </w:rPr>
                <w:t xml:space="preserve"> Cabinet report</w:t>
              </w:r>
            </w:hyperlink>
            <w:r>
              <w:rPr>
                <w:color w:val="0000FF"/>
                <w:u w:val="single"/>
              </w:rPr>
              <w:t xml:space="preserve"> </w:t>
            </w:r>
          </w:p>
          <w:p w14:paraId="009826D2" w14:textId="77777777" w:rsidR="008642A3" w:rsidRPr="008642A3" w:rsidRDefault="008642A3" w:rsidP="0202287E">
            <w:pPr>
              <w:rPr>
                <w:color w:val="0000FF"/>
                <w:u w:val="single"/>
              </w:rPr>
            </w:pPr>
          </w:p>
          <w:p w14:paraId="521543D2" w14:textId="77777777" w:rsidR="008642A3" w:rsidRDefault="008642A3" w:rsidP="0202287E">
            <w:r>
              <w:t xml:space="preserve">Original decision - </w:t>
            </w:r>
            <w:hyperlink r:id="rId12" w:history="1">
              <w:r w:rsidRPr="008642A3">
                <w:rPr>
                  <w:rStyle w:val="Hyperlink"/>
                </w:rPr>
                <w:t>Decision - Purchase of a block 4 x one-bedroom units situated at 45 Wytham Street, Oxford, OX1 4TR. | Oxford City Council</w:t>
              </w:r>
            </w:hyperlink>
          </w:p>
          <w:p w14:paraId="78FD4075" w14:textId="2454AEDE" w:rsidR="008642A3" w:rsidRPr="003D7A19" w:rsidRDefault="008642A3" w:rsidP="0202287E">
            <w:pPr>
              <w:rPr>
                <w:rFonts w:eastAsia="Arial" w:cs="Arial"/>
              </w:rPr>
            </w:pP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7EE473A7" w:rsidR="00E87F7A" w:rsidRPr="00C55247" w:rsidRDefault="005D71B7" w:rsidP="00A46E98">
            <w:pPr>
              <w:rPr>
                <w:rStyle w:val="Hyperlink"/>
                <w:rFonts w:cs="Arial"/>
                <w:color w:val="auto"/>
              </w:rPr>
            </w:pPr>
            <w:hyperlink r:id="rId13"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215"/>
        <w:gridCol w:w="1738"/>
      </w:tblGrid>
      <w:tr w:rsidR="001A1BA1" w:rsidRPr="003E4C33" w14:paraId="55292CC4" w14:textId="77777777" w:rsidTr="00AE8EC1">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215" w:type="dxa"/>
            <w:vAlign w:val="center"/>
          </w:tcPr>
          <w:p w14:paraId="66370075" w14:textId="77777777" w:rsidR="001A1BA1" w:rsidRPr="003E4C33" w:rsidRDefault="001A1BA1" w:rsidP="000772EB">
            <w:pPr>
              <w:rPr>
                <w:b/>
                <w:i/>
              </w:rPr>
            </w:pPr>
            <w:r w:rsidRPr="003E4C33">
              <w:rPr>
                <w:b/>
                <w:i/>
              </w:rPr>
              <w:t>Name and job title</w:t>
            </w:r>
          </w:p>
        </w:tc>
        <w:tc>
          <w:tcPr>
            <w:tcW w:w="173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00AE8EC1">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21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738" w:type="dxa"/>
            <w:vAlign w:val="center"/>
          </w:tcPr>
          <w:p w14:paraId="29D4AEB7" w14:textId="37CFC095" w:rsidR="001A1BA1" w:rsidRPr="003E4C33" w:rsidRDefault="00FE565B" w:rsidP="000772EB">
            <w:r>
              <w:t>21</w:t>
            </w:r>
            <w:r w:rsidR="0B2D1538">
              <w:t>/</w:t>
            </w:r>
            <w:r>
              <w:t>10</w:t>
            </w:r>
            <w:r w:rsidR="0EA3C3F7">
              <w:t>/2025</w:t>
            </w:r>
          </w:p>
        </w:tc>
      </w:tr>
      <w:tr w:rsidR="001A1BA1" w:rsidRPr="003E4C33" w14:paraId="5B08396D" w14:textId="77777777" w:rsidTr="00AE8EC1">
        <w:trPr>
          <w:trHeight w:val="1161"/>
        </w:trPr>
        <w:tc>
          <w:tcPr>
            <w:tcW w:w="3119" w:type="dxa"/>
          </w:tcPr>
          <w:p w14:paraId="206914C9" w14:textId="77777777" w:rsidR="001A1BA1" w:rsidRPr="003E4C33" w:rsidRDefault="001A1BA1" w:rsidP="000772EB">
            <w:pPr>
              <w:spacing w:before="120"/>
              <w:rPr>
                <w:b/>
              </w:rPr>
            </w:pPr>
            <w:r w:rsidRPr="003E4C33">
              <w:rPr>
                <w:b/>
              </w:rPr>
              <w:lastRenderedPageBreak/>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215" w:type="dxa"/>
            <w:vAlign w:val="center"/>
          </w:tcPr>
          <w:p w14:paraId="476C7451" w14:textId="29BDB24C" w:rsidR="001A1BA1" w:rsidRPr="003E4C33" w:rsidRDefault="005D71B7" w:rsidP="000772EB">
            <w:r>
              <w:t>Nigel Kennedy, Group Finance Director.</w:t>
            </w:r>
          </w:p>
        </w:tc>
        <w:tc>
          <w:tcPr>
            <w:tcW w:w="1738" w:type="dxa"/>
            <w:vAlign w:val="center"/>
          </w:tcPr>
          <w:p w14:paraId="26B724B7" w14:textId="18DE5998" w:rsidR="001A1BA1" w:rsidRPr="003E4C33" w:rsidRDefault="00FE565B" w:rsidP="000772EB">
            <w:r>
              <w:t>21</w:t>
            </w:r>
            <w:r w:rsidR="33C5EFD8">
              <w:t>/</w:t>
            </w:r>
            <w:r>
              <w:t>10</w:t>
            </w:r>
            <w:r w:rsidR="33C5EFD8">
              <w:t>/2025</w:t>
            </w:r>
          </w:p>
        </w:tc>
      </w:tr>
      <w:tr w:rsidR="001A1BA1" w:rsidRPr="003E4C33" w14:paraId="54CB0EFE" w14:textId="77777777" w:rsidTr="00AE8EC1">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215" w:type="dxa"/>
            <w:vAlign w:val="center"/>
          </w:tcPr>
          <w:p w14:paraId="459F8630" w14:textId="4AD742F8" w:rsidR="001A1BA1" w:rsidRPr="003E4C33" w:rsidRDefault="005D71B7" w:rsidP="000772EB">
            <w:r>
              <w:t>Emma</w:t>
            </w:r>
            <w:r w:rsidR="00B24872">
              <w:t xml:space="preserve"> Griffiths, Legal Services Manager</w:t>
            </w:r>
            <w:r>
              <w:t>,</w:t>
            </w:r>
            <w:r w:rsidR="00B24872">
              <w:t xml:space="preserve"> for and on behalf of the</w:t>
            </w:r>
            <w:r>
              <w:t xml:space="preserve"> Director of Law, Governance and Strategy.</w:t>
            </w:r>
          </w:p>
        </w:tc>
        <w:tc>
          <w:tcPr>
            <w:tcW w:w="1738" w:type="dxa"/>
          </w:tcPr>
          <w:p w14:paraId="02EE4AB5" w14:textId="77777777" w:rsidR="001A1BA1" w:rsidRDefault="001A1BA1" w:rsidP="000772EB"/>
          <w:p w14:paraId="6ECFAAA9" w14:textId="77777777" w:rsidR="005D71B7" w:rsidRDefault="005D71B7" w:rsidP="000772EB"/>
          <w:p w14:paraId="6FF270CA" w14:textId="43609D15" w:rsidR="005D71B7" w:rsidRPr="003E4C33" w:rsidRDefault="00B24872" w:rsidP="000772EB">
            <w:r>
              <w:t>23/10</w:t>
            </w:r>
            <w:r w:rsidR="549ABA1D">
              <w:t>/</w:t>
            </w:r>
            <w:r w:rsidR="79B62702">
              <w:t>2025</w:t>
            </w:r>
          </w:p>
          <w:p w14:paraId="13EBB6A8" w14:textId="59601EFA" w:rsidR="005D71B7" w:rsidRPr="003E4C33" w:rsidRDefault="005D71B7" w:rsidP="0202287E">
            <w:pPr>
              <w:rPr>
                <w:rStyle w:val="Firstpagetablebold"/>
                <w:b w:val="0"/>
              </w:rPr>
            </w:pPr>
          </w:p>
        </w:tc>
      </w:tr>
      <w:tr w:rsidR="001A1BA1" w:rsidRPr="003E4C33" w14:paraId="266E8AC6" w14:textId="77777777" w:rsidTr="00AE8EC1">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215" w:type="dxa"/>
            <w:vAlign w:val="center"/>
          </w:tcPr>
          <w:p w14:paraId="47B4B0BF" w14:textId="6AEA1D8D" w:rsidR="001A1BA1" w:rsidRPr="003E4C33" w:rsidRDefault="005D71B7" w:rsidP="000772EB">
            <w:r>
              <w:t>Linda Smith, Cabinet Member for Housing.</w:t>
            </w:r>
          </w:p>
        </w:tc>
        <w:tc>
          <w:tcPr>
            <w:tcW w:w="1738" w:type="dxa"/>
            <w:vAlign w:val="center"/>
          </w:tcPr>
          <w:p w14:paraId="18120EDB" w14:textId="3CFCEB28" w:rsidR="001A1BA1" w:rsidRPr="003E4C33" w:rsidRDefault="00FE565B" w:rsidP="000772EB">
            <w:r>
              <w:t>21</w:t>
            </w:r>
            <w:r w:rsidR="2F52FF7F">
              <w:t>/</w:t>
            </w:r>
            <w:r>
              <w:t>10</w:t>
            </w:r>
            <w:r w:rsidR="2F52FF7F">
              <w:t>/2025</w:t>
            </w:r>
          </w:p>
          <w:p w14:paraId="79ED7A02" w14:textId="1D217227" w:rsidR="001A1BA1" w:rsidRPr="003E4C33" w:rsidRDefault="001A1BA1" w:rsidP="0202287E">
            <w:pPr>
              <w:rPr>
                <w:rStyle w:val="Firstpagetablebold"/>
                <w:b w:val="0"/>
              </w:rPr>
            </w:pPr>
          </w:p>
        </w:tc>
      </w:tr>
      <w:tr w:rsidR="001A1BA1" w:rsidRPr="003E4C33" w14:paraId="789A1406" w14:textId="77777777" w:rsidTr="00AE8EC1">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215" w:type="dxa"/>
            <w:vAlign w:val="center"/>
          </w:tcPr>
          <w:p w14:paraId="0E06D3A4" w14:textId="51B55E7F" w:rsidR="001A1BA1" w:rsidRPr="003E4C33" w:rsidRDefault="005D71B7" w:rsidP="000772EB">
            <w:r>
              <w:t>N/A</w:t>
            </w:r>
          </w:p>
        </w:tc>
        <w:tc>
          <w:tcPr>
            <w:tcW w:w="173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6521" w:type="dxa"/>
        <w:tblInd w:w="137" w:type="dxa"/>
        <w:tblLook w:val="04A0" w:firstRow="1" w:lastRow="0" w:firstColumn="1" w:lastColumn="0" w:noHBand="0" w:noVBand="1"/>
      </w:tblPr>
      <w:tblGrid>
        <w:gridCol w:w="4770"/>
        <w:gridCol w:w="1751"/>
      </w:tblGrid>
      <w:tr w:rsidR="0BC4DFF5" w:rsidRPr="003E4C33" w14:paraId="56628C58" w14:textId="77777777" w:rsidTr="00AE8EC1">
        <w:trPr>
          <w:trHeight w:val="300"/>
        </w:trPr>
        <w:tc>
          <w:tcPr>
            <w:tcW w:w="4770" w:type="dxa"/>
            <w:vAlign w:val="center"/>
          </w:tcPr>
          <w:p w14:paraId="0E828CBD" w14:textId="77777777" w:rsidR="0BC4DFF5" w:rsidRPr="003E4C33" w:rsidRDefault="0BC4DFF5" w:rsidP="0BC4DFF5">
            <w:pPr>
              <w:rPr>
                <w:b/>
                <w:bCs/>
                <w:i/>
                <w:iCs/>
              </w:rPr>
            </w:pPr>
            <w:r w:rsidRPr="003E4C33">
              <w:rPr>
                <w:b/>
                <w:bCs/>
                <w:i/>
                <w:iCs/>
              </w:rPr>
              <w:t>Name and job title</w:t>
            </w:r>
          </w:p>
        </w:tc>
        <w:tc>
          <w:tcPr>
            <w:tcW w:w="1751"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AE8EC1">
        <w:trPr>
          <w:trHeight w:val="300"/>
        </w:trPr>
        <w:tc>
          <w:tcPr>
            <w:tcW w:w="4770" w:type="dxa"/>
            <w:vAlign w:val="center"/>
          </w:tcPr>
          <w:p w14:paraId="249841EC" w14:textId="34451801" w:rsidR="0BC4DFF5" w:rsidRPr="00C55247" w:rsidRDefault="00B760AB" w:rsidP="008642A3">
            <w:pPr>
              <w:spacing w:after="0"/>
            </w:pPr>
            <w:r>
              <w:t xml:space="preserve">Tom Hook, </w:t>
            </w:r>
            <w:r w:rsidRPr="00B760AB">
              <w:t>Deputy Chief Executive | Citizen &amp; City Services</w:t>
            </w:r>
          </w:p>
        </w:tc>
        <w:tc>
          <w:tcPr>
            <w:tcW w:w="1751" w:type="dxa"/>
            <w:vAlign w:val="center"/>
          </w:tcPr>
          <w:p w14:paraId="5373F56B" w14:textId="68203F7F" w:rsidR="00CB7A4F" w:rsidRPr="003E4C33" w:rsidRDefault="00CB7A4F"/>
          <w:p w14:paraId="25CB65FA" w14:textId="2B1D79C3" w:rsidR="00CB7A4F" w:rsidRPr="003E4C33" w:rsidRDefault="00B760AB">
            <w:r>
              <w:t>28</w:t>
            </w:r>
            <w:r w:rsidR="002A00C4">
              <w:t>/</w:t>
            </w:r>
            <w:r>
              <w:t>10</w:t>
            </w:r>
            <w:r w:rsidR="4C327F10">
              <w:t>/</w:t>
            </w:r>
            <w:r w:rsidR="7C7B87BF">
              <w:t>2025</w:t>
            </w:r>
          </w:p>
          <w:p w14:paraId="32E398AB" w14:textId="498AE3C8" w:rsidR="00CB7A4F" w:rsidRPr="003E4C33" w:rsidRDefault="00CB7A4F"/>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8B86" w14:textId="77777777" w:rsidR="00794483" w:rsidRDefault="00794483" w:rsidP="004A6D2F">
      <w:r>
        <w:separator/>
      </w:r>
    </w:p>
  </w:endnote>
  <w:endnote w:type="continuationSeparator" w:id="0">
    <w:p w14:paraId="49526EE7" w14:textId="77777777" w:rsidR="00794483" w:rsidRDefault="00794483"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36EC" w14:textId="77777777" w:rsidR="00794483" w:rsidRDefault="00794483" w:rsidP="004A6D2F">
      <w:r>
        <w:separator/>
      </w:r>
    </w:p>
  </w:footnote>
  <w:footnote w:type="continuationSeparator" w:id="0">
    <w:p w14:paraId="63072F9D" w14:textId="77777777" w:rsidR="00794483" w:rsidRDefault="00794483"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au7tyQ02S6WIK" int2:id="6C2llv3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D0916"/>
    <w:rsid w:val="000F3878"/>
    <w:rsid w:val="000F4751"/>
    <w:rsid w:val="0010524C"/>
    <w:rsid w:val="00111FB1"/>
    <w:rsid w:val="00113418"/>
    <w:rsid w:val="00117C1C"/>
    <w:rsid w:val="00124E5C"/>
    <w:rsid w:val="001356F1"/>
    <w:rsid w:val="00136994"/>
    <w:rsid w:val="0014128E"/>
    <w:rsid w:val="00151888"/>
    <w:rsid w:val="00163DE2"/>
    <w:rsid w:val="00170A2D"/>
    <w:rsid w:val="001808BC"/>
    <w:rsid w:val="00182B81"/>
    <w:rsid w:val="0018619D"/>
    <w:rsid w:val="001933FA"/>
    <w:rsid w:val="001A011E"/>
    <w:rsid w:val="001A066A"/>
    <w:rsid w:val="001A120B"/>
    <w:rsid w:val="001A13E6"/>
    <w:rsid w:val="001A1BA1"/>
    <w:rsid w:val="001A5731"/>
    <w:rsid w:val="001B42C3"/>
    <w:rsid w:val="001C5D5E"/>
    <w:rsid w:val="001D678D"/>
    <w:rsid w:val="001E03F8"/>
    <w:rsid w:val="001E1678"/>
    <w:rsid w:val="001E3376"/>
    <w:rsid w:val="001F1EB8"/>
    <w:rsid w:val="002069B3"/>
    <w:rsid w:val="0022610C"/>
    <w:rsid w:val="00226F8A"/>
    <w:rsid w:val="002329CF"/>
    <w:rsid w:val="00232F5B"/>
    <w:rsid w:val="00241830"/>
    <w:rsid w:val="00246303"/>
    <w:rsid w:val="00247C29"/>
    <w:rsid w:val="00254D7E"/>
    <w:rsid w:val="00260467"/>
    <w:rsid w:val="00263EA3"/>
    <w:rsid w:val="00281F1F"/>
    <w:rsid w:val="00284F85"/>
    <w:rsid w:val="002870C3"/>
    <w:rsid w:val="00290915"/>
    <w:rsid w:val="002A00C4"/>
    <w:rsid w:val="002A22E2"/>
    <w:rsid w:val="002A242B"/>
    <w:rsid w:val="002A3AAA"/>
    <w:rsid w:val="002B46A9"/>
    <w:rsid w:val="002B6836"/>
    <w:rsid w:val="002C64F7"/>
    <w:rsid w:val="002F41F2"/>
    <w:rsid w:val="00301BF3"/>
    <w:rsid w:val="0030208D"/>
    <w:rsid w:val="00323418"/>
    <w:rsid w:val="003273FD"/>
    <w:rsid w:val="0033565F"/>
    <w:rsid w:val="003357BF"/>
    <w:rsid w:val="00337AAF"/>
    <w:rsid w:val="00340B77"/>
    <w:rsid w:val="003455E5"/>
    <w:rsid w:val="0035045B"/>
    <w:rsid w:val="00354567"/>
    <w:rsid w:val="00364FAD"/>
    <w:rsid w:val="0036738F"/>
    <w:rsid w:val="0036759C"/>
    <w:rsid w:val="00367AE5"/>
    <w:rsid w:val="00367D71"/>
    <w:rsid w:val="00372A82"/>
    <w:rsid w:val="00372E05"/>
    <w:rsid w:val="0038150A"/>
    <w:rsid w:val="00385CBF"/>
    <w:rsid w:val="003B6E75"/>
    <w:rsid w:val="003B7DA1"/>
    <w:rsid w:val="003C071E"/>
    <w:rsid w:val="003D0379"/>
    <w:rsid w:val="003D2574"/>
    <w:rsid w:val="003D4C59"/>
    <w:rsid w:val="003D7A19"/>
    <w:rsid w:val="003E4C33"/>
    <w:rsid w:val="003F4267"/>
    <w:rsid w:val="00404032"/>
    <w:rsid w:val="0040736F"/>
    <w:rsid w:val="00412C1F"/>
    <w:rsid w:val="00421CB2"/>
    <w:rsid w:val="00425B65"/>
    <w:rsid w:val="004268B9"/>
    <w:rsid w:val="00433B96"/>
    <w:rsid w:val="00442C9D"/>
    <w:rsid w:val="004440F1"/>
    <w:rsid w:val="00444DF2"/>
    <w:rsid w:val="004456DD"/>
    <w:rsid w:val="00446CDF"/>
    <w:rsid w:val="004521B7"/>
    <w:rsid w:val="004548E0"/>
    <w:rsid w:val="00462AB5"/>
    <w:rsid w:val="00465EAF"/>
    <w:rsid w:val="004738C5"/>
    <w:rsid w:val="0047737B"/>
    <w:rsid w:val="00491046"/>
    <w:rsid w:val="00492759"/>
    <w:rsid w:val="00495D14"/>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0A58"/>
    <w:rsid w:val="00633578"/>
    <w:rsid w:val="0063408C"/>
    <w:rsid w:val="00635E3E"/>
    <w:rsid w:val="00637068"/>
    <w:rsid w:val="006469E9"/>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4B61"/>
    <w:rsid w:val="006E614E"/>
    <w:rsid w:val="006F0292"/>
    <w:rsid w:val="006F27FA"/>
    <w:rsid w:val="006F416B"/>
    <w:rsid w:val="006F519B"/>
    <w:rsid w:val="00713675"/>
    <w:rsid w:val="00715823"/>
    <w:rsid w:val="00716183"/>
    <w:rsid w:val="007233C4"/>
    <w:rsid w:val="007253EF"/>
    <w:rsid w:val="00737B93"/>
    <w:rsid w:val="00745BF0"/>
    <w:rsid w:val="00751EA3"/>
    <w:rsid w:val="007615FE"/>
    <w:rsid w:val="00764BAF"/>
    <w:rsid w:val="0076655C"/>
    <w:rsid w:val="007742DC"/>
    <w:rsid w:val="00781DB6"/>
    <w:rsid w:val="00791437"/>
    <w:rsid w:val="00794483"/>
    <w:rsid w:val="007967CA"/>
    <w:rsid w:val="007B0C2C"/>
    <w:rsid w:val="007B278E"/>
    <w:rsid w:val="007B44D2"/>
    <w:rsid w:val="007B5CA2"/>
    <w:rsid w:val="007C5C23"/>
    <w:rsid w:val="007C6E8A"/>
    <w:rsid w:val="007E2A26"/>
    <w:rsid w:val="007F2348"/>
    <w:rsid w:val="007F4757"/>
    <w:rsid w:val="00803F07"/>
    <w:rsid w:val="0080749A"/>
    <w:rsid w:val="00821FB8"/>
    <w:rsid w:val="00822ACD"/>
    <w:rsid w:val="00831A36"/>
    <w:rsid w:val="0083341F"/>
    <w:rsid w:val="00836446"/>
    <w:rsid w:val="00855C66"/>
    <w:rsid w:val="008642A3"/>
    <w:rsid w:val="00871EE4"/>
    <w:rsid w:val="008954DF"/>
    <w:rsid w:val="008A34D3"/>
    <w:rsid w:val="008B293F"/>
    <w:rsid w:val="008B7371"/>
    <w:rsid w:val="008C3026"/>
    <w:rsid w:val="008D2347"/>
    <w:rsid w:val="008D3DDB"/>
    <w:rsid w:val="008F1BB4"/>
    <w:rsid w:val="008F3B04"/>
    <w:rsid w:val="008F573F"/>
    <w:rsid w:val="009034EC"/>
    <w:rsid w:val="00922CB1"/>
    <w:rsid w:val="0093067A"/>
    <w:rsid w:val="00941C60"/>
    <w:rsid w:val="00941FD1"/>
    <w:rsid w:val="009622B9"/>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5C7F"/>
    <w:rsid w:val="009F6BC0"/>
    <w:rsid w:val="009F7618"/>
    <w:rsid w:val="009F7B5C"/>
    <w:rsid w:val="00A01032"/>
    <w:rsid w:val="00A04D23"/>
    <w:rsid w:val="00A06766"/>
    <w:rsid w:val="00A11CA9"/>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AE8EC1"/>
    <w:rsid w:val="00B14648"/>
    <w:rsid w:val="00B24872"/>
    <w:rsid w:val="00B35BD0"/>
    <w:rsid w:val="00B500CA"/>
    <w:rsid w:val="00B6369C"/>
    <w:rsid w:val="00B760AB"/>
    <w:rsid w:val="00B86314"/>
    <w:rsid w:val="00B93FFA"/>
    <w:rsid w:val="00BA1C2E"/>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2A3"/>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5ECA"/>
    <w:rsid w:val="00F122B1"/>
    <w:rsid w:val="00F26E21"/>
    <w:rsid w:val="00F3566E"/>
    <w:rsid w:val="00F35E60"/>
    <w:rsid w:val="00F375FB"/>
    <w:rsid w:val="00F37B81"/>
    <w:rsid w:val="00F41AC1"/>
    <w:rsid w:val="00F4367A"/>
    <w:rsid w:val="00F445B1"/>
    <w:rsid w:val="00F45CD4"/>
    <w:rsid w:val="00F5765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E565B"/>
    <w:rsid w:val="00FE57DC"/>
    <w:rsid w:val="00FF095A"/>
    <w:rsid w:val="00FF213D"/>
    <w:rsid w:val="012460D6"/>
    <w:rsid w:val="0202287E"/>
    <w:rsid w:val="028174F7"/>
    <w:rsid w:val="0287E82A"/>
    <w:rsid w:val="02AB56F3"/>
    <w:rsid w:val="051D600E"/>
    <w:rsid w:val="0710BB9B"/>
    <w:rsid w:val="0810001F"/>
    <w:rsid w:val="08612AF7"/>
    <w:rsid w:val="086B0F04"/>
    <w:rsid w:val="08A8E222"/>
    <w:rsid w:val="0939A38A"/>
    <w:rsid w:val="09EA6934"/>
    <w:rsid w:val="0A996ACD"/>
    <w:rsid w:val="0AFF6EB2"/>
    <w:rsid w:val="0B2D1538"/>
    <w:rsid w:val="0BC4DFF5"/>
    <w:rsid w:val="0BD3A587"/>
    <w:rsid w:val="0C9B31B2"/>
    <w:rsid w:val="0EA3C3F7"/>
    <w:rsid w:val="0F0F600E"/>
    <w:rsid w:val="0FFB0BC3"/>
    <w:rsid w:val="10D6FE06"/>
    <w:rsid w:val="114C5F09"/>
    <w:rsid w:val="11EEC5C2"/>
    <w:rsid w:val="1200FACE"/>
    <w:rsid w:val="12E744BB"/>
    <w:rsid w:val="13C89BFA"/>
    <w:rsid w:val="13D64D59"/>
    <w:rsid w:val="14367311"/>
    <w:rsid w:val="1581FEA8"/>
    <w:rsid w:val="17513DD5"/>
    <w:rsid w:val="18A47893"/>
    <w:rsid w:val="1A234375"/>
    <w:rsid w:val="1AD87A53"/>
    <w:rsid w:val="1C1AA4F7"/>
    <w:rsid w:val="1D080B8E"/>
    <w:rsid w:val="1D2FA919"/>
    <w:rsid w:val="1D79CE75"/>
    <w:rsid w:val="1E3C0C18"/>
    <w:rsid w:val="2187760D"/>
    <w:rsid w:val="229BB4EA"/>
    <w:rsid w:val="2322182A"/>
    <w:rsid w:val="24FD44F1"/>
    <w:rsid w:val="25E08F1E"/>
    <w:rsid w:val="29066FA7"/>
    <w:rsid w:val="2952A2B7"/>
    <w:rsid w:val="29C91C3A"/>
    <w:rsid w:val="2B7BAFE9"/>
    <w:rsid w:val="2BB29E7E"/>
    <w:rsid w:val="2C0F9C71"/>
    <w:rsid w:val="2C952A1C"/>
    <w:rsid w:val="2DBAC9FC"/>
    <w:rsid w:val="2E6D5454"/>
    <w:rsid w:val="2F2A85A0"/>
    <w:rsid w:val="2F52FF7F"/>
    <w:rsid w:val="332755AF"/>
    <w:rsid w:val="3354A2B8"/>
    <w:rsid w:val="33B7281E"/>
    <w:rsid w:val="33C5EFD8"/>
    <w:rsid w:val="33FF7DAA"/>
    <w:rsid w:val="361E7983"/>
    <w:rsid w:val="375799CA"/>
    <w:rsid w:val="37FFB4D7"/>
    <w:rsid w:val="3839C0AD"/>
    <w:rsid w:val="395C47E3"/>
    <w:rsid w:val="397B3F40"/>
    <w:rsid w:val="39A05735"/>
    <w:rsid w:val="3CC14F5D"/>
    <w:rsid w:val="3D3B0069"/>
    <w:rsid w:val="3D9882EA"/>
    <w:rsid w:val="3DF14DDC"/>
    <w:rsid w:val="3EBA0DA8"/>
    <w:rsid w:val="3EF71E4E"/>
    <w:rsid w:val="3F74E53E"/>
    <w:rsid w:val="40063A47"/>
    <w:rsid w:val="40774643"/>
    <w:rsid w:val="41571A7F"/>
    <w:rsid w:val="41E209CD"/>
    <w:rsid w:val="425A0352"/>
    <w:rsid w:val="42DDDBA8"/>
    <w:rsid w:val="45BBD153"/>
    <w:rsid w:val="4759622A"/>
    <w:rsid w:val="47F273E0"/>
    <w:rsid w:val="48DE5700"/>
    <w:rsid w:val="499DCDC6"/>
    <w:rsid w:val="49F06E26"/>
    <w:rsid w:val="4A480075"/>
    <w:rsid w:val="4A57A6F4"/>
    <w:rsid w:val="4B5D4C50"/>
    <w:rsid w:val="4B65F381"/>
    <w:rsid w:val="4B84F9CA"/>
    <w:rsid w:val="4C2D167E"/>
    <w:rsid w:val="4C327F10"/>
    <w:rsid w:val="4C36344A"/>
    <w:rsid w:val="4E780D21"/>
    <w:rsid w:val="4F43C41E"/>
    <w:rsid w:val="4F966FB6"/>
    <w:rsid w:val="5353493B"/>
    <w:rsid w:val="53ABA97C"/>
    <w:rsid w:val="53F029B3"/>
    <w:rsid w:val="53F053F6"/>
    <w:rsid w:val="549ABA1D"/>
    <w:rsid w:val="5602BFF8"/>
    <w:rsid w:val="561E3DD4"/>
    <w:rsid w:val="5808269C"/>
    <w:rsid w:val="5832B0E0"/>
    <w:rsid w:val="587857B2"/>
    <w:rsid w:val="5B818A7E"/>
    <w:rsid w:val="5C2B989B"/>
    <w:rsid w:val="5CBE517D"/>
    <w:rsid w:val="5D71F95F"/>
    <w:rsid w:val="5D81E474"/>
    <w:rsid w:val="5E6B8486"/>
    <w:rsid w:val="601B9854"/>
    <w:rsid w:val="62B5405B"/>
    <w:rsid w:val="657286C4"/>
    <w:rsid w:val="65912E93"/>
    <w:rsid w:val="66BB295D"/>
    <w:rsid w:val="66F5868B"/>
    <w:rsid w:val="6705CB2F"/>
    <w:rsid w:val="67763C94"/>
    <w:rsid w:val="686A4A51"/>
    <w:rsid w:val="68A4BF98"/>
    <w:rsid w:val="68CABE82"/>
    <w:rsid w:val="69410224"/>
    <w:rsid w:val="69C0F1C8"/>
    <w:rsid w:val="6A38635F"/>
    <w:rsid w:val="6AB83EFA"/>
    <w:rsid w:val="6C68FDE1"/>
    <w:rsid w:val="6CEB0E78"/>
    <w:rsid w:val="6CFF97FF"/>
    <w:rsid w:val="6D8A7C5A"/>
    <w:rsid w:val="6DC28365"/>
    <w:rsid w:val="6DDB842C"/>
    <w:rsid w:val="6E33FD9D"/>
    <w:rsid w:val="6EF1E5C9"/>
    <w:rsid w:val="709410E8"/>
    <w:rsid w:val="70BB03AA"/>
    <w:rsid w:val="70CE5F5A"/>
    <w:rsid w:val="7126238E"/>
    <w:rsid w:val="719C242E"/>
    <w:rsid w:val="7337D733"/>
    <w:rsid w:val="7437B097"/>
    <w:rsid w:val="74DD5E36"/>
    <w:rsid w:val="75901C0C"/>
    <w:rsid w:val="76DC391E"/>
    <w:rsid w:val="78E3C92C"/>
    <w:rsid w:val="79B62702"/>
    <w:rsid w:val="7A3632C9"/>
    <w:rsid w:val="7A731415"/>
    <w:rsid w:val="7ACC6696"/>
    <w:rsid w:val="7B310BD7"/>
    <w:rsid w:val="7BF71614"/>
    <w:rsid w:val="7C7B87BF"/>
    <w:rsid w:val="7E2CE386"/>
    <w:rsid w:val="7ECA0CCF"/>
    <w:rsid w:val="7FE1DDD5"/>
    <w:rsid w:val="7FE6F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31551938">
      <w:bodyDiv w:val="1"/>
      <w:marLeft w:val="0"/>
      <w:marRight w:val="0"/>
      <w:marTop w:val="0"/>
      <w:marBottom w:val="0"/>
      <w:divBdr>
        <w:top w:val="none" w:sz="0" w:space="0" w:color="auto"/>
        <w:left w:val="none" w:sz="0" w:space="0" w:color="auto"/>
        <w:bottom w:val="none" w:sz="0" w:space="0" w:color="auto"/>
        <w:right w:val="none" w:sz="0" w:space="0" w:color="auto"/>
      </w:divBdr>
      <w:divsChild>
        <w:div w:id="1117066535">
          <w:marLeft w:val="0"/>
          <w:marRight w:val="0"/>
          <w:marTop w:val="0"/>
          <w:marBottom w:val="0"/>
          <w:divBdr>
            <w:top w:val="none" w:sz="0" w:space="0" w:color="auto"/>
            <w:left w:val="none" w:sz="0" w:space="0" w:color="auto"/>
            <w:bottom w:val="none" w:sz="0" w:space="0" w:color="auto"/>
            <w:right w:val="none" w:sz="0" w:space="0" w:color="auto"/>
          </w:divBdr>
        </w:div>
        <w:div w:id="171998179">
          <w:marLeft w:val="0"/>
          <w:marRight w:val="0"/>
          <w:marTop w:val="0"/>
          <w:marBottom w:val="0"/>
          <w:divBdr>
            <w:top w:val="none" w:sz="0" w:space="0" w:color="auto"/>
            <w:left w:val="none" w:sz="0" w:space="0" w:color="auto"/>
            <w:bottom w:val="none" w:sz="0" w:space="0" w:color="auto"/>
            <w:right w:val="none" w:sz="0" w:space="0" w:color="auto"/>
          </w:divBdr>
        </w:div>
        <w:div w:id="1765687601">
          <w:marLeft w:val="0"/>
          <w:marRight w:val="0"/>
          <w:marTop w:val="0"/>
          <w:marBottom w:val="0"/>
          <w:divBdr>
            <w:top w:val="none" w:sz="0" w:space="0" w:color="auto"/>
            <w:left w:val="none" w:sz="0" w:space="0" w:color="auto"/>
            <w:bottom w:val="none" w:sz="0" w:space="0" w:color="auto"/>
            <w:right w:val="none" w:sz="0" w:space="0" w:color="auto"/>
          </w:divBdr>
        </w:div>
        <w:div w:id="118375575">
          <w:marLeft w:val="0"/>
          <w:marRight w:val="0"/>
          <w:marTop w:val="0"/>
          <w:marBottom w:val="0"/>
          <w:divBdr>
            <w:top w:val="none" w:sz="0" w:space="0" w:color="auto"/>
            <w:left w:val="none" w:sz="0" w:space="0" w:color="auto"/>
            <w:bottom w:val="none" w:sz="0" w:space="0" w:color="auto"/>
            <w:right w:val="none" w:sz="0" w:space="0" w:color="auto"/>
          </w:divBdr>
        </w:div>
        <w:div w:id="1834948209">
          <w:marLeft w:val="0"/>
          <w:marRight w:val="0"/>
          <w:marTop w:val="0"/>
          <w:marBottom w:val="0"/>
          <w:divBdr>
            <w:top w:val="none" w:sz="0" w:space="0" w:color="auto"/>
            <w:left w:val="none" w:sz="0" w:space="0" w:color="auto"/>
            <w:bottom w:val="none" w:sz="0" w:space="0" w:color="auto"/>
            <w:right w:val="none" w:sz="0" w:space="0" w:color="auto"/>
          </w:divBdr>
        </w:div>
        <w:div w:id="1932423195">
          <w:marLeft w:val="0"/>
          <w:marRight w:val="0"/>
          <w:marTop w:val="0"/>
          <w:marBottom w:val="0"/>
          <w:divBdr>
            <w:top w:val="none" w:sz="0" w:space="0" w:color="auto"/>
            <w:left w:val="none" w:sz="0" w:space="0" w:color="auto"/>
            <w:bottom w:val="none" w:sz="0" w:space="0" w:color="auto"/>
            <w:right w:val="none" w:sz="0" w:space="0" w:color="auto"/>
          </w:divBdr>
        </w:div>
        <w:div w:id="1575430102">
          <w:marLeft w:val="0"/>
          <w:marRight w:val="0"/>
          <w:marTop w:val="0"/>
          <w:marBottom w:val="0"/>
          <w:divBdr>
            <w:top w:val="none" w:sz="0" w:space="0" w:color="auto"/>
            <w:left w:val="none" w:sz="0" w:space="0" w:color="auto"/>
            <w:bottom w:val="none" w:sz="0" w:space="0" w:color="auto"/>
            <w:right w:val="none" w:sz="0" w:space="0" w:color="auto"/>
          </w:divBdr>
        </w:div>
        <w:div w:id="1112476084">
          <w:marLeft w:val="0"/>
          <w:marRight w:val="0"/>
          <w:marTop w:val="0"/>
          <w:marBottom w:val="0"/>
          <w:divBdr>
            <w:top w:val="none" w:sz="0" w:space="0" w:color="auto"/>
            <w:left w:val="none" w:sz="0" w:space="0" w:color="auto"/>
            <w:bottom w:val="none" w:sz="0" w:space="0" w:color="auto"/>
            <w:right w:val="none" w:sz="0" w:space="0" w:color="auto"/>
          </w:divBdr>
        </w:div>
        <w:div w:id="1413350163">
          <w:marLeft w:val="0"/>
          <w:marRight w:val="0"/>
          <w:marTop w:val="0"/>
          <w:marBottom w:val="0"/>
          <w:divBdr>
            <w:top w:val="none" w:sz="0" w:space="0" w:color="auto"/>
            <w:left w:val="none" w:sz="0" w:space="0" w:color="auto"/>
            <w:bottom w:val="none" w:sz="0" w:space="0" w:color="auto"/>
            <w:right w:val="none" w:sz="0" w:space="0" w:color="auto"/>
          </w:divBdr>
        </w:div>
        <w:div w:id="1778018483">
          <w:marLeft w:val="0"/>
          <w:marRight w:val="0"/>
          <w:marTop w:val="0"/>
          <w:marBottom w:val="0"/>
          <w:divBdr>
            <w:top w:val="none" w:sz="0" w:space="0" w:color="auto"/>
            <w:left w:val="none" w:sz="0" w:space="0" w:color="auto"/>
            <w:bottom w:val="none" w:sz="0" w:space="0" w:color="auto"/>
            <w:right w:val="none" w:sz="0" w:space="0" w:color="auto"/>
          </w:divBdr>
        </w:div>
      </w:divsChild>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24710579">
      <w:bodyDiv w:val="1"/>
      <w:marLeft w:val="0"/>
      <w:marRight w:val="0"/>
      <w:marTop w:val="0"/>
      <w:marBottom w:val="0"/>
      <w:divBdr>
        <w:top w:val="none" w:sz="0" w:space="0" w:color="auto"/>
        <w:left w:val="none" w:sz="0" w:space="0" w:color="auto"/>
        <w:bottom w:val="none" w:sz="0" w:space="0" w:color="auto"/>
        <w:right w:val="none" w:sz="0" w:space="0" w:color="auto"/>
      </w:divBdr>
      <w:divsChild>
        <w:div w:id="497506248">
          <w:marLeft w:val="0"/>
          <w:marRight w:val="0"/>
          <w:marTop w:val="0"/>
          <w:marBottom w:val="0"/>
          <w:divBdr>
            <w:top w:val="none" w:sz="0" w:space="0" w:color="auto"/>
            <w:left w:val="none" w:sz="0" w:space="0" w:color="auto"/>
            <w:bottom w:val="none" w:sz="0" w:space="0" w:color="auto"/>
            <w:right w:val="none" w:sz="0" w:space="0" w:color="auto"/>
          </w:divBdr>
        </w:div>
        <w:div w:id="782042262">
          <w:marLeft w:val="0"/>
          <w:marRight w:val="0"/>
          <w:marTop w:val="0"/>
          <w:marBottom w:val="0"/>
          <w:divBdr>
            <w:top w:val="none" w:sz="0" w:space="0" w:color="auto"/>
            <w:left w:val="none" w:sz="0" w:space="0" w:color="auto"/>
            <w:bottom w:val="none" w:sz="0" w:space="0" w:color="auto"/>
            <w:right w:val="none" w:sz="0" w:space="0" w:color="auto"/>
          </w:divBdr>
        </w:div>
        <w:div w:id="21520818">
          <w:marLeft w:val="0"/>
          <w:marRight w:val="0"/>
          <w:marTop w:val="0"/>
          <w:marBottom w:val="0"/>
          <w:divBdr>
            <w:top w:val="none" w:sz="0" w:space="0" w:color="auto"/>
            <w:left w:val="none" w:sz="0" w:space="0" w:color="auto"/>
            <w:bottom w:val="none" w:sz="0" w:space="0" w:color="auto"/>
            <w:right w:val="none" w:sz="0" w:space="0" w:color="auto"/>
          </w:divBdr>
        </w:div>
        <w:div w:id="192571772">
          <w:marLeft w:val="0"/>
          <w:marRight w:val="0"/>
          <w:marTop w:val="0"/>
          <w:marBottom w:val="0"/>
          <w:divBdr>
            <w:top w:val="none" w:sz="0" w:space="0" w:color="auto"/>
            <w:left w:val="none" w:sz="0" w:space="0" w:color="auto"/>
            <w:bottom w:val="none" w:sz="0" w:space="0" w:color="auto"/>
            <w:right w:val="none" w:sz="0" w:space="0" w:color="auto"/>
          </w:divBdr>
        </w:div>
        <w:div w:id="1356661628">
          <w:marLeft w:val="0"/>
          <w:marRight w:val="0"/>
          <w:marTop w:val="0"/>
          <w:marBottom w:val="0"/>
          <w:divBdr>
            <w:top w:val="none" w:sz="0" w:space="0" w:color="auto"/>
            <w:left w:val="none" w:sz="0" w:space="0" w:color="auto"/>
            <w:bottom w:val="none" w:sz="0" w:space="0" w:color="auto"/>
            <w:right w:val="none" w:sz="0" w:space="0" w:color="auto"/>
          </w:divBdr>
        </w:div>
        <w:div w:id="774908782">
          <w:marLeft w:val="0"/>
          <w:marRight w:val="0"/>
          <w:marTop w:val="0"/>
          <w:marBottom w:val="0"/>
          <w:divBdr>
            <w:top w:val="none" w:sz="0" w:space="0" w:color="auto"/>
            <w:left w:val="none" w:sz="0" w:space="0" w:color="auto"/>
            <w:bottom w:val="none" w:sz="0" w:space="0" w:color="auto"/>
            <w:right w:val="none" w:sz="0" w:space="0" w:color="auto"/>
          </w:divBdr>
        </w:div>
        <w:div w:id="628165740">
          <w:marLeft w:val="0"/>
          <w:marRight w:val="0"/>
          <w:marTop w:val="0"/>
          <w:marBottom w:val="0"/>
          <w:divBdr>
            <w:top w:val="none" w:sz="0" w:space="0" w:color="auto"/>
            <w:left w:val="none" w:sz="0" w:space="0" w:color="auto"/>
            <w:bottom w:val="none" w:sz="0" w:space="0" w:color="auto"/>
            <w:right w:val="none" w:sz="0" w:space="0" w:color="auto"/>
          </w:divBdr>
        </w:div>
        <w:div w:id="243804717">
          <w:marLeft w:val="0"/>
          <w:marRight w:val="0"/>
          <w:marTop w:val="0"/>
          <w:marBottom w:val="0"/>
          <w:divBdr>
            <w:top w:val="none" w:sz="0" w:space="0" w:color="auto"/>
            <w:left w:val="none" w:sz="0" w:space="0" w:color="auto"/>
            <w:bottom w:val="none" w:sz="0" w:space="0" w:color="auto"/>
            <w:right w:val="none" w:sz="0" w:space="0" w:color="auto"/>
          </w:divBdr>
        </w:div>
        <w:div w:id="426384016">
          <w:marLeft w:val="0"/>
          <w:marRight w:val="0"/>
          <w:marTop w:val="0"/>
          <w:marBottom w:val="0"/>
          <w:divBdr>
            <w:top w:val="none" w:sz="0" w:space="0" w:color="auto"/>
            <w:left w:val="none" w:sz="0" w:space="0" w:color="auto"/>
            <w:bottom w:val="none" w:sz="0" w:space="0" w:color="auto"/>
            <w:right w:val="none" w:sz="0" w:space="0" w:color="auto"/>
          </w:divBdr>
        </w:div>
        <w:div w:id="195120826">
          <w:marLeft w:val="0"/>
          <w:marRight w:val="0"/>
          <w:marTop w:val="0"/>
          <w:marBottom w:val="0"/>
          <w:divBdr>
            <w:top w:val="none" w:sz="0" w:space="0" w:color="auto"/>
            <w:left w:val="none" w:sz="0" w:space="0" w:color="auto"/>
            <w:bottom w:val="none" w:sz="0" w:space="0" w:color="auto"/>
            <w:right w:val="none" w:sz="0" w:space="0" w:color="auto"/>
          </w:divBdr>
        </w:div>
      </w:divsChild>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orrington@oxford.gov.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mycouncil.oxford.gov.uk/ieDecisionDetails.aspx?ID=268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81083/Cabinet%20Report%20-%20Local%20Authority%20Housing%20Fund%20Round%203%20v.0.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71dd1386b07e147757e274f7050836b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5384bdcfff342f6966c2701e1cca9842"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Props1.xml><?xml version="1.0" encoding="utf-8"?>
<ds:datastoreItem xmlns:ds="http://schemas.openxmlformats.org/officeDocument/2006/customXml" ds:itemID="{1649F5C1-CCC2-4E85-A2C4-9C7181C7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eaa32da7-5219-4734-a910-708597380a8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4</cp:revision>
  <cp:lastPrinted>2025-03-03T11:12:00Z</cp:lastPrinted>
  <dcterms:created xsi:type="dcterms:W3CDTF">2025-10-24T09:47:00Z</dcterms:created>
  <dcterms:modified xsi:type="dcterms:W3CDTF">2025-10-30T10:31:00Z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y fmtid="{D5CDD505-2E9C-101B-9397-08002B2CF9AE}" pid="3" name="MediaServiceImageTags">
    <vt:lpwstr/>
  </property>
</Properties>
</file>